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6BDF5" w14:textId="77777777" w:rsidR="001069D9" w:rsidRDefault="007C0D57" w:rsidP="00386EDF">
      <w:pPr>
        <w:pBdr>
          <w:top w:val="nil"/>
          <w:left w:val="nil"/>
          <w:bottom w:val="nil"/>
          <w:right w:val="nil"/>
          <w:between w:val="nil"/>
        </w:pBdr>
        <w:tabs>
          <w:tab w:val="center" w:pos="510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3B36F2E6" w14:textId="77777777" w:rsidR="001069D9" w:rsidRDefault="001069D9" w:rsidP="007C0D57">
      <w:pPr>
        <w:pBdr>
          <w:top w:val="nil"/>
          <w:left w:val="nil"/>
          <w:bottom w:val="nil"/>
          <w:right w:val="nil"/>
          <w:between w:val="nil"/>
        </w:pBdr>
        <w:tabs>
          <w:tab w:val="left" w:pos="1985"/>
        </w:tabs>
        <w:spacing w:before="120" w:after="120"/>
        <w:jc w:val="left"/>
        <w:rPr>
          <w:rFonts w:ascii="Arial" w:eastAsia="Arial" w:hAnsi="Arial"/>
          <w:color w:val="000000"/>
          <w:sz w:val="24"/>
          <w:szCs w:val="24"/>
        </w:rPr>
      </w:pPr>
    </w:p>
    <w:p w14:paraId="46113E17" w14:textId="77777777" w:rsidR="001069D9" w:rsidRDefault="007C0D5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E87DEB6" w14:textId="77777777" w:rsidR="001069D9" w:rsidRDefault="007C0D57">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5D77A43D" w14:textId="77777777" w:rsidR="001069D9" w:rsidRDefault="001069D9">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5"/>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1069D9" w14:paraId="14F58625" w14:textId="77777777">
        <w:tc>
          <w:tcPr>
            <w:tcW w:w="2704" w:type="dxa"/>
          </w:tcPr>
          <w:p w14:paraId="51E493DF"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14:paraId="4909B870" w14:textId="77777777" w:rsidR="001069D9" w:rsidRDefault="007C0D57">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1069D9" w14:paraId="572BA7AA" w14:textId="77777777">
        <w:tc>
          <w:tcPr>
            <w:tcW w:w="2704" w:type="dxa"/>
          </w:tcPr>
          <w:p w14:paraId="2A27EAAC"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14:paraId="586288EC"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1069D9" w14:paraId="6D0D075E" w14:textId="77777777">
        <w:tc>
          <w:tcPr>
            <w:tcW w:w="2704" w:type="dxa"/>
          </w:tcPr>
          <w:p w14:paraId="40CC0E1B"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14:paraId="6F460A7B"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1069D9" w14:paraId="18DFFE28" w14:textId="77777777">
        <w:tc>
          <w:tcPr>
            <w:tcW w:w="2704" w:type="dxa"/>
          </w:tcPr>
          <w:p w14:paraId="27E09690" w14:textId="77777777" w:rsidR="001069D9" w:rsidRDefault="001069D9">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p>
        </w:tc>
        <w:tc>
          <w:tcPr>
            <w:tcW w:w="5952" w:type="dxa"/>
          </w:tcPr>
          <w:p w14:paraId="6DFCDE10" w14:textId="77777777" w:rsidR="001069D9" w:rsidRDefault="001069D9">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p>
        </w:tc>
      </w:tr>
      <w:tr w:rsidR="001069D9" w14:paraId="6DA375F2" w14:textId="77777777">
        <w:tc>
          <w:tcPr>
            <w:tcW w:w="2704" w:type="dxa"/>
          </w:tcPr>
          <w:p w14:paraId="6425FF33"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14:paraId="20BC29FC"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1069D9" w14:paraId="30591DE0" w14:textId="77777777">
        <w:tc>
          <w:tcPr>
            <w:tcW w:w="2704" w:type="dxa"/>
          </w:tcPr>
          <w:p w14:paraId="32F0B71B"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14:paraId="57AD59C1" w14:textId="77777777" w:rsidR="001069D9" w:rsidRPr="00386EDF"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sidRPr="00386EDF">
              <w:rPr>
                <w:rFonts w:ascii="Arial" w:eastAsia="Arial" w:hAnsi="Arial"/>
                <w:color w:val="000000"/>
                <w:sz w:val="24"/>
                <w:szCs w:val="24"/>
              </w:rPr>
              <w:t>the minimum credit rating level for each entity in the FDE Group as set out in Annex 1 to this Schedule;</w:t>
            </w:r>
          </w:p>
        </w:tc>
      </w:tr>
      <w:tr w:rsidR="001069D9" w14:paraId="0CB59A47" w14:textId="77777777">
        <w:tc>
          <w:tcPr>
            <w:tcW w:w="2704" w:type="dxa"/>
          </w:tcPr>
          <w:p w14:paraId="65DBEF44"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14:paraId="4176FC30" w14:textId="2566C98A" w:rsidR="001069D9" w:rsidRPr="00386EDF"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sidRPr="00386EDF">
              <w:rPr>
                <w:rFonts w:ascii="Arial" w:eastAsia="Arial" w:hAnsi="Arial"/>
                <w:color w:val="000000"/>
                <w:sz w:val="24"/>
                <w:szCs w:val="24"/>
              </w:rPr>
              <w:t>means the Supplier, Key Sub-contractors, the Guarantor and the</w:t>
            </w:r>
            <w:r w:rsidR="00386EDF">
              <w:rPr>
                <w:rFonts w:ascii="Arial" w:eastAsia="Arial" w:hAnsi="Arial"/>
                <w:color w:val="000000"/>
                <w:sz w:val="24"/>
                <w:szCs w:val="24"/>
              </w:rPr>
              <w:t xml:space="preserve"> </w:t>
            </w:r>
            <w:r w:rsidRPr="00386EDF">
              <w:rPr>
                <w:rFonts w:ascii="Arial" w:eastAsia="Arial" w:hAnsi="Arial"/>
                <w:color w:val="000000"/>
                <w:sz w:val="24"/>
                <w:szCs w:val="24"/>
              </w:rPr>
              <w:t>[Monitored Suppliers;</w:t>
            </w:r>
          </w:p>
        </w:tc>
      </w:tr>
      <w:tr w:rsidR="001069D9" w14:paraId="7B5A3018" w14:textId="77777777">
        <w:tc>
          <w:tcPr>
            <w:tcW w:w="2704" w:type="dxa"/>
          </w:tcPr>
          <w:p w14:paraId="2DEC4B4B"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14:paraId="5D114A3F"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1069D9" w14:paraId="5B9C643A" w14:textId="77777777">
        <w:tc>
          <w:tcPr>
            <w:tcW w:w="2704" w:type="dxa"/>
          </w:tcPr>
          <w:p w14:paraId="4DF4076C"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14:paraId="25CD9A12"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1069D9" w14:paraId="19E124BB" w14:textId="77777777">
        <w:tc>
          <w:tcPr>
            <w:tcW w:w="2704" w:type="dxa"/>
          </w:tcPr>
          <w:p w14:paraId="19BDEE0C"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bookmarkStart w:id="0" w:name="_heading=h.3dy6vkm" w:colFirst="0" w:colLast="0"/>
            <w:bookmarkEnd w:id="0"/>
            <w:r>
              <w:rPr>
                <w:rFonts w:ascii="Arial" w:eastAsia="Arial" w:hAnsi="Arial"/>
                <w:b/>
                <w:color w:val="000000"/>
                <w:sz w:val="24"/>
                <w:szCs w:val="24"/>
              </w:rPr>
              <w:t>“Financial Indicators”</w:t>
            </w:r>
          </w:p>
        </w:tc>
        <w:tc>
          <w:tcPr>
            <w:tcW w:w="5952" w:type="dxa"/>
          </w:tcPr>
          <w:p w14:paraId="26620832"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1069D9" w14:paraId="6DE539E3" w14:textId="77777777">
        <w:tc>
          <w:tcPr>
            <w:tcW w:w="2704" w:type="dxa"/>
          </w:tcPr>
          <w:p w14:paraId="6D4AE71B"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Target Thresholds”</w:t>
            </w:r>
          </w:p>
        </w:tc>
        <w:tc>
          <w:tcPr>
            <w:tcW w:w="5952" w:type="dxa"/>
          </w:tcPr>
          <w:p w14:paraId="6D90FA75"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1069D9" w14:paraId="336C7A16" w14:textId="77777777">
        <w:tc>
          <w:tcPr>
            <w:tcW w:w="2704" w:type="dxa"/>
          </w:tcPr>
          <w:p w14:paraId="0DEA9C26"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lastRenderedPageBreak/>
              <w:t>“Monitored Suppliers”</w:t>
            </w:r>
          </w:p>
        </w:tc>
        <w:tc>
          <w:tcPr>
            <w:tcW w:w="5952" w:type="dxa"/>
          </w:tcPr>
          <w:p w14:paraId="7C7519D2"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1069D9" w14:paraId="567B4A8B" w14:textId="77777777">
        <w:tc>
          <w:tcPr>
            <w:tcW w:w="2704" w:type="dxa"/>
          </w:tcPr>
          <w:p w14:paraId="63946DF0"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14:paraId="504A891F"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1069D9" w14:paraId="48DAD18C" w14:textId="77777777">
        <w:tc>
          <w:tcPr>
            <w:tcW w:w="2704" w:type="dxa"/>
          </w:tcPr>
          <w:p w14:paraId="52E79FFF"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14:paraId="1AF1C9E3" w14:textId="77777777" w:rsidR="001069D9" w:rsidRDefault="007C0D5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11">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0DA5B7A9" w14:textId="77777777" w:rsidR="001069D9" w:rsidRDefault="007C0D57">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FDE Group and the consequences of a change to that financial standing.</w:t>
      </w:r>
    </w:p>
    <w:p w14:paraId="29839308" w14:textId="77777777" w:rsidR="001069D9" w:rsidRDefault="007C0D57">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terms of this Schedule shall survive: </w:t>
      </w:r>
    </w:p>
    <w:p w14:paraId="37AC5C12"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A54E0EC"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5545BB63" w14:textId="77777777" w:rsidR="001069D9" w:rsidRDefault="001069D9">
      <w:pPr>
        <w:pBdr>
          <w:top w:val="nil"/>
          <w:left w:val="nil"/>
          <w:bottom w:val="nil"/>
          <w:right w:val="nil"/>
          <w:between w:val="nil"/>
        </w:pBdr>
        <w:tabs>
          <w:tab w:val="left" w:pos="1134"/>
        </w:tabs>
        <w:spacing w:before="120" w:after="120"/>
        <w:ind w:left="936" w:hanging="1004"/>
        <w:jc w:val="left"/>
        <w:rPr>
          <w:rFonts w:ascii="Arial Bold" w:eastAsia="Arial Bold" w:hAnsi="Arial Bold" w:cs="Arial Bold"/>
          <w:color w:val="000000"/>
          <w:sz w:val="24"/>
          <w:szCs w:val="24"/>
        </w:rPr>
      </w:pPr>
    </w:p>
    <w:p w14:paraId="6F32B641" w14:textId="77777777" w:rsidR="001069D9" w:rsidRDefault="007C0D5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14:paraId="0786CE08" w14:textId="77777777" w:rsidR="001069D9" w:rsidRDefault="007C0D5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599ACA78"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Annex 2 to this Schedule; and</w:t>
      </w:r>
    </w:p>
    <w:p w14:paraId="225634F6"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603A9343"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42305FA2"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14:paraId="54D1B213"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14:paraId="0BA97625"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7F262ADA"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646DCFC"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1798B00D"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14:paraId="57A6A9FA"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14:paraId="2FD3D20F"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14:paraId="6C2E550D"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14:paraId="4881B820"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33818CC0"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0C017586" w14:textId="77777777" w:rsidR="001069D9" w:rsidRDefault="007C0D5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14:paraId="2F064C01"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1F9E904A"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14:paraId="21123D21"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14:paraId="53BFD116"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14:paraId="00C51861"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an FDE Group entity committing a material breach of covenant to its lenders;</w:t>
      </w:r>
    </w:p>
    <w:p w14:paraId="2444FD7C"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14:paraId="05BD3307"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14:paraId="465B3C44" w14:textId="77777777" w:rsidR="001069D9" w:rsidRDefault="007C0D5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14:paraId="3523DF0C" w14:textId="77777777" w:rsidR="001069D9" w:rsidRDefault="007C0D5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14:paraId="3C30A587" w14:textId="77777777" w:rsidR="001069D9" w:rsidRDefault="007C0D5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14:paraId="314B018A" w14:textId="77777777" w:rsidR="001069D9" w:rsidRDefault="007C0D5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2586C847" w14:textId="77777777" w:rsidR="001069D9" w:rsidRDefault="007C0D5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14:paraId="3EBE07A9" w14:textId="77777777" w:rsidR="001069D9" w:rsidRDefault="007C0D57">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1B38BD42" w14:textId="77777777" w:rsidR="001069D9" w:rsidRDefault="007C0D57">
      <w:pPr>
        <w:numPr>
          <w:ilvl w:val="2"/>
          <w:numId w:val="2"/>
        </w:numPr>
        <w:pBdr>
          <w:top w:val="nil"/>
          <w:left w:val="nil"/>
          <w:bottom w:val="nil"/>
          <w:right w:val="nil"/>
          <w:between w:val="nil"/>
        </w:pBdr>
        <w:tabs>
          <w:tab w:val="left" w:pos="1985"/>
        </w:tabs>
        <w:spacing w:before="120" w:after="120"/>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6AC13ECD" w14:textId="77777777" w:rsidR="001069D9" w:rsidRDefault="007C0D5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w:t>
      </w:r>
      <w:r>
        <w:rPr>
          <w:rFonts w:ascii="Arial Bold" w:eastAsia="Arial Bold" w:hAnsi="Arial Bold" w:cs="Arial Bold"/>
          <w:b/>
          <w:color w:val="000000"/>
          <w:sz w:val="24"/>
          <w:szCs w:val="24"/>
        </w:rPr>
        <w:t>of Financial Distress Events</w:t>
      </w:r>
    </w:p>
    <w:p w14:paraId="129336A9"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34A4B25C"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2D5B3968"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14:paraId="1FB61749"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27A81075"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758C102C"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1955669E"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and delivery of the Deliverables in accordance with the Contract:</w:t>
      </w:r>
    </w:p>
    <w:p w14:paraId="7C4E6DF9" w14:textId="77777777" w:rsidR="001069D9" w:rsidRDefault="007C0D57">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67DDDA99" w14:textId="77777777" w:rsidR="001069D9" w:rsidRDefault="007C0D57">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45180436"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45666349"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03FBAEEE"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Following approval of the Financial Distress Remediation Plan by the Relevant Authority, the Supplier shall:</w:t>
      </w:r>
    </w:p>
    <w:p w14:paraId="697297E8"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6C3A8901" w14:textId="77777777" w:rsidR="001069D9" w:rsidRDefault="007C0D57">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1CA6D085" w14:textId="77777777" w:rsidR="001069D9" w:rsidRDefault="007C0D57">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469A3A2F"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25B6FBEF"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77EBD803"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2DCAE347"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5B7DDBC1"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14:paraId="06646777"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54E1E65E"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794F8F71"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7C3EE672" w14:textId="77777777" w:rsidR="001069D9" w:rsidRDefault="007C0D5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14:paraId="032738BC"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14:paraId="78ED8C69" w14:textId="77777777" w:rsidR="001069D9" w:rsidRDefault="001069D9" w:rsidP="007C0D57">
      <w:pPr>
        <w:pBdr>
          <w:top w:val="nil"/>
          <w:left w:val="nil"/>
          <w:bottom w:val="nil"/>
          <w:right w:val="nil"/>
          <w:between w:val="nil"/>
        </w:pBdr>
        <w:tabs>
          <w:tab w:val="left" w:pos="142"/>
        </w:tabs>
        <w:spacing w:before="120"/>
        <w:rPr>
          <w:rFonts w:ascii="Arial" w:eastAsia="Arial" w:hAnsi="Arial"/>
          <w:sz w:val="24"/>
          <w:szCs w:val="24"/>
        </w:rPr>
      </w:pPr>
    </w:p>
    <w:p w14:paraId="4C308A8F" w14:textId="655BE6C4" w:rsidR="001069D9" w:rsidRDefault="007C0D57">
      <w:pPr>
        <w:tabs>
          <w:tab w:val="left" w:pos="1134"/>
        </w:tabs>
        <w:spacing w:before="120" w:after="120"/>
        <w:jc w:val="left"/>
        <w:rPr>
          <w:rFonts w:ascii="Arial" w:eastAsia="Arial" w:hAnsi="Arial"/>
          <w:sz w:val="24"/>
          <w:szCs w:val="24"/>
        </w:rPr>
      </w:pPr>
      <w:r>
        <w:rPr>
          <w:rFonts w:ascii="Arial" w:eastAsia="Arial" w:hAnsi="Arial"/>
          <w:sz w:val="24"/>
          <w:szCs w:val="24"/>
        </w:rPr>
        <w:t>Lot 3G</w:t>
      </w:r>
    </w:p>
    <w:tbl>
      <w:tblPr>
        <w:tblStyle w:val="a7"/>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1069D9" w14:paraId="1565EFC4" w14:textId="77777777">
        <w:tc>
          <w:tcPr>
            <w:tcW w:w="2253" w:type="dxa"/>
            <w:shd w:val="clear" w:color="auto" w:fill="D9D9D9"/>
            <w:vAlign w:val="center"/>
          </w:tcPr>
          <w:p w14:paraId="7D4077DF" w14:textId="77777777" w:rsidR="001069D9" w:rsidRDefault="007C0D57">
            <w:pPr>
              <w:spacing w:before="100" w:after="200"/>
              <w:jc w:val="center"/>
              <w:rPr>
                <w:rFonts w:ascii="Arial" w:eastAsia="Arial" w:hAnsi="Arial"/>
                <w:b/>
                <w:sz w:val="24"/>
                <w:szCs w:val="24"/>
              </w:rPr>
            </w:pPr>
            <w:r>
              <w:rPr>
                <w:rFonts w:ascii="Arial" w:eastAsia="Arial" w:hAnsi="Arial"/>
                <w:b/>
                <w:sz w:val="24"/>
                <w:szCs w:val="24"/>
              </w:rPr>
              <w:t>Financial Indicator</w:t>
            </w:r>
          </w:p>
        </w:tc>
        <w:tc>
          <w:tcPr>
            <w:tcW w:w="1977" w:type="dxa"/>
            <w:shd w:val="clear" w:color="auto" w:fill="D9D9D9"/>
            <w:vAlign w:val="center"/>
          </w:tcPr>
          <w:p w14:paraId="2D43A3BE" w14:textId="77777777" w:rsidR="001069D9" w:rsidRDefault="007C0D57">
            <w:pPr>
              <w:spacing w:before="100" w:after="200"/>
              <w:jc w:val="center"/>
              <w:rPr>
                <w:rFonts w:ascii="Arial" w:eastAsia="Arial" w:hAnsi="Arial"/>
                <w:b/>
                <w:sz w:val="24"/>
                <w:szCs w:val="24"/>
              </w:rPr>
            </w:pPr>
            <w:r>
              <w:rPr>
                <w:rFonts w:ascii="Arial" w:eastAsia="Arial" w:hAnsi="Arial"/>
                <w:b/>
                <w:sz w:val="24"/>
                <w:szCs w:val="24"/>
              </w:rPr>
              <w:t>Calculation</w:t>
            </w:r>
            <w:r>
              <w:rPr>
                <w:rFonts w:ascii="Arial" w:eastAsia="Arial" w:hAnsi="Arial"/>
                <w:b/>
                <w:sz w:val="24"/>
                <w:szCs w:val="24"/>
                <w:vertAlign w:val="superscript"/>
              </w:rPr>
              <w:t>1</w:t>
            </w:r>
          </w:p>
        </w:tc>
        <w:tc>
          <w:tcPr>
            <w:tcW w:w="1697" w:type="dxa"/>
            <w:shd w:val="clear" w:color="auto" w:fill="D9D9D9"/>
            <w:vAlign w:val="center"/>
          </w:tcPr>
          <w:p w14:paraId="16ED8213" w14:textId="77777777" w:rsidR="001069D9" w:rsidRDefault="007C0D57">
            <w:pPr>
              <w:spacing w:before="100" w:after="200"/>
              <w:jc w:val="center"/>
              <w:rPr>
                <w:rFonts w:ascii="Arial" w:eastAsia="Arial" w:hAnsi="Arial"/>
                <w:b/>
                <w:sz w:val="24"/>
                <w:szCs w:val="24"/>
              </w:rPr>
            </w:pPr>
            <w:r>
              <w:rPr>
                <w:rFonts w:ascii="Arial" w:eastAsia="Arial" w:hAnsi="Arial"/>
                <w:b/>
                <w:sz w:val="24"/>
                <w:szCs w:val="24"/>
              </w:rPr>
              <w:t>Financial Target Threshold:</w:t>
            </w:r>
          </w:p>
        </w:tc>
        <w:tc>
          <w:tcPr>
            <w:tcW w:w="3089" w:type="dxa"/>
            <w:shd w:val="clear" w:color="auto" w:fill="D9D9D9"/>
            <w:vAlign w:val="center"/>
          </w:tcPr>
          <w:p w14:paraId="30A3C268" w14:textId="75A11052" w:rsidR="001069D9" w:rsidRDefault="007C0D57">
            <w:pPr>
              <w:spacing w:before="100" w:after="200"/>
              <w:jc w:val="center"/>
              <w:rPr>
                <w:rFonts w:ascii="Arial" w:eastAsia="Arial" w:hAnsi="Arial"/>
                <w:b/>
                <w:sz w:val="24"/>
                <w:szCs w:val="24"/>
              </w:rPr>
            </w:pPr>
            <w:bookmarkStart w:id="1" w:name="_heading=h.1ci93xb" w:colFirst="0" w:colLast="0"/>
            <w:bookmarkEnd w:id="1"/>
            <w:r>
              <w:rPr>
                <w:rFonts w:ascii="Arial" w:eastAsia="Arial" w:hAnsi="Arial"/>
                <w:b/>
                <w:sz w:val="24"/>
                <w:szCs w:val="24"/>
              </w:rPr>
              <w:t xml:space="preserve">Monitoring and Reporting Frequency </w:t>
            </w:r>
          </w:p>
        </w:tc>
      </w:tr>
      <w:tr w:rsidR="001069D9" w14:paraId="1A2BBB20" w14:textId="77777777">
        <w:tc>
          <w:tcPr>
            <w:tcW w:w="2253" w:type="dxa"/>
            <w:vAlign w:val="center"/>
          </w:tcPr>
          <w:p w14:paraId="1B8248C0" w14:textId="5CDF6B78" w:rsidR="001069D9" w:rsidRPr="00401DFD" w:rsidRDefault="007C0D57">
            <w:pPr>
              <w:spacing w:before="100" w:after="200"/>
              <w:jc w:val="left"/>
              <w:rPr>
                <w:rFonts w:ascii="Arial" w:eastAsia="Arial" w:hAnsi="Arial"/>
                <w:b/>
                <w:sz w:val="24"/>
                <w:szCs w:val="24"/>
              </w:rPr>
            </w:pPr>
            <w:r w:rsidRPr="00401DFD">
              <w:rPr>
                <w:rFonts w:ascii="Arial" w:eastAsia="Arial" w:hAnsi="Arial"/>
                <w:b/>
                <w:sz w:val="24"/>
                <w:szCs w:val="24"/>
              </w:rPr>
              <w:t>1</w:t>
            </w:r>
            <w:r w:rsidR="00720825" w:rsidRPr="00401DFD">
              <w:rPr>
                <w:rFonts w:ascii="Arial" w:eastAsia="Arial" w:hAnsi="Arial"/>
                <w:b/>
                <w:sz w:val="24"/>
                <w:szCs w:val="24"/>
              </w:rPr>
              <w:t xml:space="preserve"> </w:t>
            </w:r>
            <w:r w:rsidR="00DA0E17">
              <w:rPr>
                <w:rFonts w:ascii="Arial" w:eastAsia="Arial" w:hAnsi="Arial"/>
                <w:b/>
                <w:sz w:val="24"/>
                <w:szCs w:val="24"/>
              </w:rPr>
              <w:t xml:space="preserve">Net </w:t>
            </w:r>
            <w:r w:rsidR="00C8197C">
              <w:rPr>
                <w:rFonts w:ascii="Arial" w:eastAsia="Arial" w:hAnsi="Arial"/>
                <w:b/>
                <w:sz w:val="24"/>
                <w:szCs w:val="24"/>
              </w:rPr>
              <w:t>Profit</w:t>
            </w:r>
            <w:r w:rsidRPr="00401DFD">
              <w:rPr>
                <w:rFonts w:ascii="Arial" w:eastAsia="Arial" w:hAnsi="Arial"/>
                <w:b/>
                <w:sz w:val="24"/>
                <w:szCs w:val="24"/>
              </w:rPr>
              <w:t xml:space="preserve"> Margin</w:t>
            </w:r>
          </w:p>
          <w:p w14:paraId="246C15C5" w14:textId="757C6DE1" w:rsidR="001069D9" w:rsidRPr="00401DFD" w:rsidRDefault="001069D9">
            <w:pPr>
              <w:spacing w:before="100" w:after="200"/>
              <w:jc w:val="left"/>
              <w:rPr>
                <w:rFonts w:ascii="Arial" w:eastAsia="Arial" w:hAnsi="Arial"/>
                <w:b/>
                <w:sz w:val="24"/>
                <w:szCs w:val="24"/>
              </w:rPr>
            </w:pPr>
          </w:p>
        </w:tc>
        <w:tc>
          <w:tcPr>
            <w:tcW w:w="1977" w:type="dxa"/>
            <w:vAlign w:val="center"/>
          </w:tcPr>
          <w:p w14:paraId="618BE7D4" w14:textId="289A9ABE" w:rsidR="001069D9" w:rsidRPr="00401DFD" w:rsidRDefault="00C8197C">
            <w:pPr>
              <w:spacing w:before="100" w:after="200"/>
              <w:jc w:val="center"/>
              <w:rPr>
                <w:rFonts w:ascii="Arial" w:eastAsia="Arial" w:hAnsi="Arial"/>
                <w:i/>
                <w:sz w:val="24"/>
                <w:szCs w:val="24"/>
              </w:rPr>
            </w:pPr>
            <w:r>
              <w:rPr>
                <w:rFonts w:ascii="Arial" w:eastAsia="Arial" w:hAnsi="Arial"/>
                <w:i/>
                <w:sz w:val="24"/>
                <w:szCs w:val="24"/>
              </w:rPr>
              <w:t>Net Profit</w:t>
            </w:r>
            <w:r w:rsidR="007C0D57" w:rsidRPr="00401DFD">
              <w:rPr>
                <w:rFonts w:ascii="Arial" w:eastAsia="Arial" w:hAnsi="Arial"/>
                <w:i/>
                <w:sz w:val="24"/>
                <w:szCs w:val="24"/>
              </w:rPr>
              <w:t xml:space="preserve"> = </w:t>
            </w:r>
            <w:r>
              <w:rPr>
                <w:rFonts w:ascii="Arial" w:eastAsia="Arial" w:hAnsi="Arial"/>
                <w:i/>
                <w:sz w:val="24"/>
                <w:szCs w:val="24"/>
              </w:rPr>
              <w:t>Net Profit Before Tax / Turnover</w:t>
            </w:r>
          </w:p>
        </w:tc>
        <w:tc>
          <w:tcPr>
            <w:tcW w:w="1697" w:type="dxa"/>
            <w:vAlign w:val="center"/>
          </w:tcPr>
          <w:p w14:paraId="4F4991DF" w14:textId="77777777"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&lt;4%</w:t>
            </w:r>
          </w:p>
        </w:tc>
        <w:tc>
          <w:tcPr>
            <w:tcW w:w="3089" w:type="dxa"/>
            <w:vAlign w:val="center"/>
          </w:tcPr>
          <w:p w14:paraId="546DFA64" w14:textId="1D5A40E5"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Tested and reported yearly in arrears within 120 days of each</w:t>
            </w:r>
            <w:r w:rsidR="00720825" w:rsidRPr="00401DFD">
              <w:rPr>
                <w:rFonts w:ascii="Arial" w:eastAsia="Arial" w:hAnsi="Arial"/>
                <w:i/>
                <w:sz w:val="24"/>
                <w:szCs w:val="24"/>
              </w:rPr>
              <w:t xml:space="preserve"> </w:t>
            </w:r>
            <w:r w:rsidRPr="00401DFD">
              <w:rPr>
                <w:rFonts w:ascii="Arial" w:eastAsia="Arial" w:hAnsi="Arial"/>
                <w:i/>
                <w:sz w:val="24"/>
                <w:szCs w:val="24"/>
              </w:rPr>
              <w:t xml:space="preserve">accounting reference date upon figures for the 12 months ending on the relevant accounting reference date </w:t>
            </w:r>
          </w:p>
        </w:tc>
      </w:tr>
      <w:tr w:rsidR="001069D9" w14:paraId="3614F0A2" w14:textId="77777777">
        <w:tc>
          <w:tcPr>
            <w:tcW w:w="2253" w:type="dxa"/>
            <w:vAlign w:val="center"/>
          </w:tcPr>
          <w:p w14:paraId="67EEFBF9" w14:textId="53B44782" w:rsidR="001069D9" w:rsidRPr="00401DFD" w:rsidRDefault="007C0D57">
            <w:pPr>
              <w:spacing w:before="100" w:after="200"/>
              <w:jc w:val="left"/>
              <w:rPr>
                <w:rFonts w:ascii="Arial" w:eastAsia="Arial" w:hAnsi="Arial"/>
                <w:b/>
                <w:sz w:val="24"/>
                <w:szCs w:val="24"/>
              </w:rPr>
            </w:pPr>
            <w:r w:rsidRPr="00401DFD">
              <w:rPr>
                <w:rFonts w:ascii="Arial" w:eastAsia="Arial" w:hAnsi="Arial"/>
                <w:b/>
                <w:sz w:val="24"/>
                <w:szCs w:val="24"/>
              </w:rPr>
              <w:t>2</w:t>
            </w:r>
            <w:r w:rsidR="005B437F" w:rsidRPr="00401DFD">
              <w:rPr>
                <w:rFonts w:ascii="Arial" w:eastAsia="Arial" w:hAnsi="Arial"/>
                <w:b/>
                <w:sz w:val="24"/>
                <w:szCs w:val="24"/>
              </w:rPr>
              <w:t xml:space="preserve"> </w:t>
            </w:r>
            <w:r w:rsidR="00670E31">
              <w:rPr>
                <w:rFonts w:ascii="Arial" w:eastAsia="Arial" w:hAnsi="Arial"/>
                <w:b/>
                <w:sz w:val="24"/>
                <w:szCs w:val="24"/>
              </w:rPr>
              <w:t>Operating Cash</w:t>
            </w:r>
            <w:r w:rsidRPr="00401DFD">
              <w:rPr>
                <w:rFonts w:ascii="Arial" w:eastAsia="Arial" w:hAnsi="Arial"/>
                <w:b/>
                <w:sz w:val="24"/>
                <w:szCs w:val="24"/>
              </w:rPr>
              <w:t xml:space="preserve"> Flow to Net Debt Ratio</w:t>
            </w:r>
          </w:p>
          <w:p w14:paraId="3E76BF29" w14:textId="6A03A6BD" w:rsidR="001069D9" w:rsidRPr="00401DFD" w:rsidRDefault="001069D9">
            <w:pPr>
              <w:spacing w:before="100" w:after="200"/>
              <w:jc w:val="left"/>
              <w:rPr>
                <w:rFonts w:ascii="Arial" w:eastAsia="Arial" w:hAnsi="Arial"/>
                <w:b/>
                <w:sz w:val="24"/>
                <w:szCs w:val="24"/>
              </w:rPr>
            </w:pPr>
          </w:p>
        </w:tc>
        <w:tc>
          <w:tcPr>
            <w:tcW w:w="1977" w:type="dxa"/>
            <w:vAlign w:val="center"/>
          </w:tcPr>
          <w:p w14:paraId="6C905824" w14:textId="36DBADCA" w:rsidR="001069D9" w:rsidRPr="00401DFD" w:rsidRDefault="00670E31">
            <w:pPr>
              <w:spacing w:before="100" w:after="200"/>
              <w:jc w:val="center"/>
              <w:rPr>
                <w:rFonts w:ascii="Arial" w:eastAsia="Arial" w:hAnsi="Arial"/>
                <w:i/>
                <w:sz w:val="24"/>
                <w:szCs w:val="24"/>
              </w:rPr>
            </w:pPr>
            <w:r>
              <w:rPr>
                <w:rFonts w:ascii="Arial" w:eastAsia="Arial" w:hAnsi="Arial"/>
                <w:i/>
                <w:sz w:val="24"/>
                <w:szCs w:val="24"/>
              </w:rPr>
              <w:t xml:space="preserve">Operating </w:t>
            </w:r>
            <w:r w:rsidR="007C0D57" w:rsidRPr="00401DFD">
              <w:rPr>
                <w:rFonts w:ascii="Arial" w:eastAsia="Arial" w:hAnsi="Arial"/>
                <w:i/>
                <w:sz w:val="24"/>
                <w:szCs w:val="24"/>
              </w:rPr>
              <w:t xml:space="preserve">Cash Flow to Net Debt Ratio = </w:t>
            </w:r>
            <w:r>
              <w:rPr>
                <w:rFonts w:ascii="Arial" w:eastAsia="Arial" w:hAnsi="Arial"/>
                <w:i/>
                <w:sz w:val="24"/>
                <w:szCs w:val="24"/>
              </w:rPr>
              <w:t>Operating</w:t>
            </w:r>
            <w:r w:rsidR="007C0D57" w:rsidRPr="00401DFD">
              <w:rPr>
                <w:rFonts w:ascii="Arial" w:eastAsia="Arial" w:hAnsi="Arial"/>
                <w:i/>
                <w:sz w:val="24"/>
                <w:szCs w:val="24"/>
              </w:rPr>
              <w:t xml:space="preserve"> Cash Flow / Net Debt</w:t>
            </w:r>
          </w:p>
          <w:p w14:paraId="1F6823A1" w14:textId="31E8FB22" w:rsidR="001069D9" w:rsidRPr="00401DFD" w:rsidRDefault="001069D9">
            <w:pPr>
              <w:spacing w:before="100" w:after="200"/>
              <w:jc w:val="center"/>
              <w:rPr>
                <w:rFonts w:ascii="Arial" w:eastAsia="Arial" w:hAnsi="Arial"/>
                <w:i/>
                <w:sz w:val="24"/>
                <w:szCs w:val="24"/>
              </w:rPr>
            </w:pPr>
          </w:p>
        </w:tc>
        <w:tc>
          <w:tcPr>
            <w:tcW w:w="1697" w:type="dxa"/>
            <w:vAlign w:val="center"/>
          </w:tcPr>
          <w:p w14:paraId="792BAA22" w14:textId="77777777"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&lt;5%</w:t>
            </w:r>
          </w:p>
          <w:p w14:paraId="52521679" w14:textId="12A65EC7" w:rsidR="001069D9" w:rsidRPr="00401DFD" w:rsidRDefault="001069D9" w:rsidP="005B437F">
            <w:pPr>
              <w:spacing w:before="100" w:after="200"/>
              <w:rPr>
                <w:rFonts w:ascii="Arial" w:eastAsia="Arial" w:hAnsi="Arial"/>
                <w:i/>
                <w:sz w:val="24"/>
                <w:szCs w:val="24"/>
              </w:rPr>
            </w:pPr>
          </w:p>
        </w:tc>
        <w:tc>
          <w:tcPr>
            <w:tcW w:w="3089" w:type="dxa"/>
            <w:vAlign w:val="center"/>
          </w:tcPr>
          <w:p w14:paraId="3234FE85" w14:textId="3A6B2E05"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Tested and reported yearly in arrears within 120 days of each accounting reference date based upon Free Cash Flow for the 12 months ending on, and Net Debt at, the relevant accounting reference date</w:t>
            </w:r>
          </w:p>
        </w:tc>
      </w:tr>
      <w:tr w:rsidR="001069D9" w14:paraId="38C70114" w14:textId="77777777">
        <w:tc>
          <w:tcPr>
            <w:tcW w:w="2253" w:type="dxa"/>
            <w:vAlign w:val="center"/>
          </w:tcPr>
          <w:p w14:paraId="7749395B" w14:textId="2A591270" w:rsidR="001069D9" w:rsidRPr="00401DFD" w:rsidRDefault="007C0D57">
            <w:pPr>
              <w:spacing w:before="100" w:after="200"/>
              <w:jc w:val="left"/>
              <w:rPr>
                <w:rFonts w:ascii="Arial" w:eastAsia="Arial" w:hAnsi="Arial"/>
                <w:b/>
                <w:sz w:val="24"/>
                <w:szCs w:val="24"/>
              </w:rPr>
            </w:pPr>
            <w:r w:rsidRPr="00401DFD">
              <w:rPr>
                <w:rFonts w:ascii="Arial" w:eastAsia="Arial" w:hAnsi="Arial"/>
                <w:b/>
                <w:sz w:val="24"/>
                <w:szCs w:val="24"/>
              </w:rPr>
              <w:t>3</w:t>
            </w:r>
            <w:r w:rsidR="00720825" w:rsidRPr="00401DFD">
              <w:rPr>
                <w:rFonts w:ascii="Arial" w:eastAsia="Arial" w:hAnsi="Arial"/>
                <w:b/>
                <w:sz w:val="24"/>
                <w:szCs w:val="24"/>
              </w:rPr>
              <w:t xml:space="preserve"> </w:t>
            </w:r>
            <w:r w:rsidRPr="00401DFD">
              <w:rPr>
                <w:rFonts w:ascii="Arial" w:eastAsia="Arial" w:hAnsi="Arial"/>
                <w:b/>
                <w:sz w:val="24"/>
                <w:szCs w:val="24"/>
              </w:rPr>
              <w:t>Net Debt + Net Pension Deficit to EBITDA ratio</w:t>
            </w:r>
          </w:p>
        </w:tc>
        <w:tc>
          <w:tcPr>
            <w:tcW w:w="1977" w:type="dxa"/>
            <w:vAlign w:val="center"/>
          </w:tcPr>
          <w:p w14:paraId="4F2A527E" w14:textId="0E511BCB"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 xml:space="preserve">Net Debt + Net Pension Deficit to EBITDA Ratio = (Net Debt + Net </w:t>
            </w:r>
            <w:r w:rsidRPr="00401DFD">
              <w:rPr>
                <w:rFonts w:ascii="Arial" w:eastAsia="Arial" w:hAnsi="Arial"/>
                <w:i/>
                <w:sz w:val="24"/>
                <w:szCs w:val="24"/>
              </w:rPr>
              <w:lastRenderedPageBreak/>
              <w:t>Pension Deficit) / EBITDA</w:t>
            </w:r>
          </w:p>
        </w:tc>
        <w:tc>
          <w:tcPr>
            <w:tcW w:w="1697" w:type="dxa"/>
            <w:vAlign w:val="center"/>
          </w:tcPr>
          <w:p w14:paraId="25AB7E1F" w14:textId="77777777"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lastRenderedPageBreak/>
              <w:t>&gt;5.0 times</w:t>
            </w:r>
          </w:p>
        </w:tc>
        <w:tc>
          <w:tcPr>
            <w:tcW w:w="3089" w:type="dxa"/>
            <w:vAlign w:val="center"/>
          </w:tcPr>
          <w:p w14:paraId="3F1236A4" w14:textId="77777777"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 xml:space="preserve">Tested and reported yearly in arrears within 90 days of each accounting reference date based upon EBITDA for the 12 months ending on, and the </w:t>
            </w:r>
            <w:r w:rsidRPr="00401DFD">
              <w:rPr>
                <w:rFonts w:ascii="Arial" w:eastAsia="Arial" w:hAnsi="Arial"/>
                <w:i/>
                <w:sz w:val="24"/>
                <w:szCs w:val="24"/>
              </w:rPr>
              <w:lastRenderedPageBreak/>
              <w:t>Net Debt and Net Pension Deficit at, the relevant accounting reference date</w:t>
            </w:r>
          </w:p>
        </w:tc>
      </w:tr>
      <w:tr w:rsidR="001069D9" w14:paraId="49F18061" w14:textId="77777777">
        <w:tc>
          <w:tcPr>
            <w:tcW w:w="2253" w:type="dxa"/>
            <w:vAlign w:val="center"/>
          </w:tcPr>
          <w:p w14:paraId="076A6DFA" w14:textId="6D62B32B" w:rsidR="001069D9" w:rsidRPr="00401DFD" w:rsidRDefault="007C0D57">
            <w:pPr>
              <w:spacing w:before="100" w:after="200"/>
              <w:jc w:val="left"/>
              <w:rPr>
                <w:rFonts w:ascii="Arial" w:eastAsia="Arial" w:hAnsi="Arial"/>
                <w:b/>
                <w:sz w:val="24"/>
                <w:szCs w:val="24"/>
              </w:rPr>
            </w:pPr>
            <w:r w:rsidRPr="00401DFD">
              <w:rPr>
                <w:rFonts w:ascii="Arial" w:eastAsia="Arial" w:hAnsi="Arial"/>
                <w:b/>
                <w:sz w:val="24"/>
                <w:szCs w:val="24"/>
              </w:rPr>
              <w:lastRenderedPageBreak/>
              <w:t>4</w:t>
            </w:r>
            <w:r w:rsidR="00363121" w:rsidRPr="00401DFD">
              <w:rPr>
                <w:rFonts w:ascii="Arial" w:eastAsia="Arial" w:hAnsi="Arial"/>
                <w:b/>
                <w:sz w:val="24"/>
                <w:szCs w:val="24"/>
              </w:rPr>
              <w:t xml:space="preserve"> </w:t>
            </w:r>
            <w:r w:rsidRPr="00401DFD">
              <w:rPr>
                <w:rFonts w:ascii="Arial" w:eastAsia="Arial" w:hAnsi="Arial"/>
                <w:b/>
                <w:sz w:val="24"/>
                <w:szCs w:val="24"/>
              </w:rPr>
              <w:t>Net Interest Paid Cover</w:t>
            </w:r>
          </w:p>
        </w:tc>
        <w:tc>
          <w:tcPr>
            <w:tcW w:w="1977" w:type="dxa"/>
            <w:vAlign w:val="center"/>
          </w:tcPr>
          <w:p w14:paraId="1909D0B6" w14:textId="5087B3A8" w:rsidR="001069D9" w:rsidRPr="00401DFD" w:rsidRDefault="007C0D57" w:rsidP="00FD6037">
            <w:pPr>
              <w:spacing w:before="100" w:after="200"/>
              <w:rPr>
                <w:rFonts w:ascii="Arial" w:eastAsia="Arial" w:hAnsi="Arial"/>
                <w:i/>
                <w:sz w:val="24"/>
                <w:szCs w:val="24"/>
              </w:rPr>
            </w:pPr>
            <w:r w:rsidRPr="00401DFD">
              <w:rPr>
                <w:rFonts w:ascii="Arial" w:eastAsia="Arial" w:hAnsi="Arial"/>
                <w:i/>
                <w:sz w:val="24"/>
                <w:szCs w:val="24"/>
              </w:rPr>
              <w:t>[Net Interest Paid Cover = Earnings Before Interest and Tax / Net Interest Paid</w:t>
            </w:r>
          </w:p>
        </w:tc>
        <w:tc>
          <w:tcPr>
            <w:tcW w:w="1697" w:type="dxa"/>
            <w:vAlign w:val="center"/>
          </w:tcPr>
          <w:p w14:paraId="28989522" w14:textId="77777777"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&lt;3.0 times</w:t>
            </w:r>
          </w:p>
        </w:tc>
        <w:tc>
          <w:tcPr>
            <w:tcW w:w="3089" w:type="dxa"/>
            <w:vAlign w:val="center"/>
          </w:tcPr>
          <w:p w14:paraId="009E09FB" w14:textId="2F046BBA"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Tested and reported yearly in arrears within 1</w:t>
            </w:r>
            <w:r w:rsidR="00362D84" w:rsidRPr="00401DFD">
              <w:rPr>
                <w:rFonts w:ascii="Arial" w:eastAsia="Arial" w:hAnsi="Arial"/>
                <w:i/>
                <w:sz w:val="24"/>
                <w:szCs w:val="24"/>
              </w:rPr>
              <w:t>8</w:t>
            </w:r>
            <w:r w:rsidRPr="00401DFD">
              <w:rPr>
                <w:rFonts w:ascii="Arial" w:eastAsia="Arial" w:hAnsi="Arial"/>
                <w:i/>
                <w:sz w:val="24"/>
                <w:szCs w:val="24"/>
              </w:rPr>
              <w:t>0 days of each accounting reference date</w:t>
            </w:r>
            <w:r w:rsidR="00FD6037" w:rsidRPr="00401DFD">
              <w:rPr>
                <w:rFonts w:ascii="Arial" w:eastAsia="Arial" w:hAnsi="Arial"/>
                <w:i/>
                <w:sz w:val="24"/>
                <w:szCs w:val="24"/>
              </w:rPr>
              <w:t xml:space="preserve"> </w:t>
            </w:r>
            <w:r w:rsidRPr="00401DFD">
              <w:rPr>
                <w:rFonts w:ascii="Arial" w:eastAsia="Arial" w:hAnsi="Arial"/>
                <w:i/>
                <w:sz w:val="24"/>
                <w:szCs w:val="24"/>
              </w:rPr>
              <w:t xml:space="preserve">based upon figures for the 12 months ending on the relevant accounting reference </w:t>
            </w:r>
            <w:r w:rsidR="00FD6037" w:rsidRPr="00401DFD">
              <w:rPr>
                <w:rFonts w:ascii="Arial" w:eastAsia="Arial" w:hAnsi="Arial"/>
                <w:i/>
                <w:sz w:val="24"/>
                <w:szCs w:val="24"/>
              </w:rPr>
              <w:t>date</w:t>
            </w:r>
          </w:p>
        </w:tc>
      </w:tr>
      <w:tr w:rsidR="001069D9" w14:paraId="05EC8158" w14:textId="77777777">
        <w:tc>
          <w:tcPr>
            <w:tcW w:w="2253" w:type="dxa"/>
            <w:vAlign w:val="center"/>
          </w:tcPr>
          <w:p w14:paraId="5FFA6614" w14:textId="169D83DF" w:rsidR="001069D9" w:rsidRPr="00401DFD" w:rsidRDefault="007C0D57">
            <w:pPr>
              <w:spacing w:before="100" w:after="200"/>
              <w:jc w:val="left"/>
              <w:rPr>
                <w:rFonts w:ascii="Arial" w:eastAsia="Arial" w:hAnsi="Arial"/>
                <w:b/>
                <w:sz w:val="24"/>
                <w:szCs w:val="24"/>
              </w:rPr>
            </w:pPr>
            <w:r w:rsidRPr="00401DFD">
              <w:rPr>
                <w:rFonts w:ascii="Arial" w:eastAsia="Arial" w:hAnsi="Arial"/>
                <w:b/>
                <w:sz w:val="24"/>
                <w:szCs w:val="24"/>
              </w:rPr>
              <w:t>5</w:t>
            </w:r>
            <w:r w:rsidR="00363121" w:rsidRPr="00401DFD">
              <w:rPr>
                <w:rFonts w:ascii="Arial" w:eastAsia="Arial" w:hAnsi="Arial"/>
                <w:b/>
                <w:sz w:val="24"/>
                <w:szCs w:val="24"/>
              </w:rPr>
              <w:t xml:space="preserve"> </w:t>
            </w:r>
            <w:r w:rsidRPr="00401DFD">
              <w:rPr>
                <w:rFonts w:ascii="Arial" w:eastAsia="Arial" w:hAnsi="Arial"/>
                <w:b/>
                <w:sz w:val="24"/>
                <w:szCs w:val="24"/>
              </w:rPr>
              <w:t>Acid Ratio</w:t>
            </w:r>
          </w:p>
        </w:tc>
        <w:tc>
          <w:tcPr>
            <w:tcW w:w="1977" w:type="dxa"/>
            <w:vAlign w:val="center"/>
          </w:tcPr>
          <w:p w14:paraId="242B0288" w14:textId="3F406C22"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Acid Ratio = (Current Assets – Inventories) / Current Liabilities</w:t>
            </w:r>
          </w:p>
        </w:tc>
        <w:tc>
          <w:tcPr>
            <w:tcW w:w="1697" w:type="dxa"/>
            <w:vAlign w:val="center"/>
          </w:tcPr>
          <w:p w14:paraId="210CD926" w14:textId="77777777"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&lt;1.0 times</w:t>
            </w:r>
          </w:p>
        </w:tc>
        <w:tc>
          <w:tcPr>
            <w:tcW w:w="3089" w:type="dxa"/>
            <w:vAlign w:val="center"/>
          </w:tcPr>
          <w:p w14:paraId="04F3540F" w14:textId="03FD868A"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Tested and reported yearly in arrears within 1</w:t>
            </w:r>
            <w:r w:rsidR="00362D84" w:rsidRPr="00401DFD">
              <w:rPr>
                <w:rFonts w:ascii="Arial" w:eastAsia="Arial" w:hAnsi="Arial"/>
                <w:i/>
                <w:sz w:val="24"/>
                <w:szCs w:val="24"/>
              </w:rPr>
              <w:t>8</w:t>
            </w:r>
            <w:r w:rsidRPr="00401DFD">
              <w:rPr>
                <w:rFonts w:ascii="Arial" w:eastAsia="Arial" w:hAnsi="Arial"/>
                <w:i/>
                <w:sz w:val="24"/>
                <w:szCs w:val="24"/>
              </w:rPr>
              <w:t>0 days of each accounting reference date based upon figures at the relevant accounting reference date</w:t>
            </w:r>
          </w:p>
        </w:tc>
      </w:tr>
      <w:tr w:rsidR="001069D9" w14:paraId="59F08ADC" w14:textId="77777777">
        <w:tc>
          <w:tcPr>
            <w:tcW w:w="2253" w:type="dxa"/>
            <w:vAlign w:val="center"/>
          </w:tcPr>
          <w:p w14:paraId="4C5964C2" w14:textId="517B1AE3" w:rsidR="001069D9" w:rsidRPr="00401DFD" w:rsidRDefault="007C0D57">
            <w:pPr>
              <w:spacing w:before="100" w:after="200"/>
              <w:jc w:val="left"/>
              <w:rPr>
                <w:rFonts w:ascii="Arial" w:eastAsia="Arial" w:hAnsi="Arial"/>
                <w:b/>
                <w:sz w:val="24"/>
                <w:szCs w:val="24"/>
              </w:rPr>
            </w:pPr>
            <w:r w:rsidRPr="00401DFD">
              <w:rPr>
                <w:rFonts w:ascii="Arial" w:eastAsia="Arial" w:hAnsi="Arial"/>
                <w:b/>
                <w:sz w:val="24"/>
                <w:szCs w:val="24"/>
              </w:rPr>
              <w:t>6</w:t>
            </w:r>
            <w:r w:rsidR="00363121" w:rsidRPr="00401DFD">
              <w:rPr>
                <w:rFonts w:ascii="Arial" w:eastAsia="Arial" w:hAnsi="Arial"/>
                <w:b/>
                <w:sz w:val="24"/>
                <w:szCs w:val="24"/>
              </w:rPr>
              <w:t xml:space="preserve"> </w:t>
            </w:r>
            <w:r w:rsidRPr="00401DFD">
              <w:rPr>
                <w:rFonts w:ascii="Arial" w:eastAsia="Arial" w:hAnsi="Arial"/>
                <w:b/>
                <w:sz w:val="24"/>
                <w:szCs w:val="24"/>
              </w:rPr>
              <w:t>Net Asset value</w:t>
            </w:r>
          </w:p>
        </w:tc>
        <w:tc>
          <w:tcPr>
            <w:tcW w:w="1977" w:type="dxa"/>
            <w:vAlign w:val="center"/>
          </w:tcPr>
          <w:p w14:paraId="1C7B426B" w14:textId="40A00345"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Net Asset Value = Net Assets</w:t>
            </w:r>
          </w:p>
        </w:tc>
        <w:tc>
          <w:tcPr>
            <w:tcW w:w="1697" w:type="dxa"/>
            <w:vAlign w:val="center"/>
          </w:tcPr>
          <w:p w14:paraId="3FAFB17A" w14:textId="5BB101B4" w:rsidR="001069D9" w:rsidRPr="00401DFD" w:rsidRDefault="00BB3153">
            <w:pPr>
              <w:spacing w:before="100" w:after="200"/>
              <w:jc w:val="center"/>
              <w:rPr>
                <w:rFonts w:ascii="Arial" w:eastAsia="Arial" w:hAnsi="Arial"/>
                <w:i/>
                <w:sz w:val="24"/>
                <w:szCs w:val="24"/>
              </w:rPr>
            </w:pPr>
            <w:r>
              <w:rPr>
                <w:rFonts w:ascii="Arial" w:eastAsia="Arial" w:hAnsi="Arial"/>
                <w:i/>
                <w:sz w:val="24"/>
                <w:szCs w:val="24"/>
              </w:rPr>
              <w:t>&lt;</w:t>
            </w:r>
            <w:r w:rsidR="007C0D57" w:rsidRPr="00401DFD">
              <w:rPr>
                <w:rFonts w:ascii="Arial" w:eastAsia="Arial" w:hAnsi="Arial"/>
                <w:i/>
                <w:sz w:val="24"/>
                <w:szCs w:val="24"/>
              </w:rPr>
              <w:t xml:space="preserve"> £0</w:t>
            </w:r>
          </w:p>
        </w:tc>
        <w:tc>
          <w:tcPr>
            <w:tcW w:w="3089" w:type="dxa"/>
            <w:vAlign w:val="center"/>
          </w:tcPr>
          <w:p w14:paraId="52386E69" w14:textId="339AFA5A"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Tested and reported yearly in arrears within 1</w:t>
            </w:r>
            <w:r w:rsidR="00362D84" w:rsidRPr="00401DFD">
              <w:rPr>
                <w:rFonts w:ascii="Arial" w:eastAsia="Arial" w:hAnsi="Arial"/>
                <w:i/>
                <w:sz w:val="24"/>
                <w:szCs w:val="24"/>
              </w:rPr>
              <w:t>8</w:t>
            </w:r>
            <w:r w:rsidRPr="00401DFD">
              <w:rPr>
                <w:rFonts w:ascii="Arial" w:eastAsia="Arial" w:hAnsi="Arial"/>
                <w:i/>
                <w:sz w:val="24"/>
                <w:szCs w:val="24"/>
              </w:rPr>
              <w:t xml:space="preserve">0 days of each accounting reference date based upon figures at the relevant accounting reference date </w:t>
            </w:r>
          </w:p>
        </w:tc>
      </w:tr>
      <w:tr w:rsidR="001069D9" w14:paraId="2EA13BD6" w14:textId="77777777">
        <w:tc>
          <w:tcPr>
            <w:tcW w:w="2253" w:type="dxa"/>
            <w:vAlign w:val="center"/>
          </w:tcPr>
          <w:p w14:paraId="71EF4D5F" w14:textId="76B53C73" w:rsidR="001069D9" w:rsidRPr="00401DFD" w:rsidRDefault="007C0D57">
            <w:pPr>
              <w:spacing w:before="100" w:after="200"/>
              <w:jc w:val="left"/>
              <w:rPr>
                <w:rFonts w:ascii="Arial" w:eastAsia="Arial" w:hAnsi="Arial"/>
                <w:b/>
                <w:sz w:val="24"/>
                <w:szCs w:val="24"/>
              </w:rPr>
            </w:pPr>
            <w:r w:rsidRPr="00401DFD">
              <w:rPr>
                <w:rFonts w:ascii="Arial" w:eastAsia="Arial" w:hAnsi="Arial"/>
                <w:b/>
                <w:sz w:val="24"/>
                <w:szCs w:val="24"/>
              </w:rPr>
              <w:t>7</w:t>
            </w:r>
            <w:r w:rsidR="00363121" w:rsidRPr="00401DFD">
              <w:rPr>
                <w:rFonts w:ascii="Arial" w:eastAsia="Arial" w:hAnsi="Arial"/>
                <w:b/>
                <w:sz w:val="24"/>
                <w:szCs w:val="24"/>
              </w:rPr>
              <w:t xml:space="preserve"> </w:t>
            </w:r>
            <w:r w:rsidRPr="00401DFD">
              <w:rPr>
                <w:rFonts w:ascii="Arial" w:eastAsia="Arial" w:hAnsi="Arial"/>
                <w:b/>
                <w:sz w:val="24"/>
                <w:szCs w:val="24"/>
              </w:rPr>
              <w:t>Group Exposure Ratio</w:t>
            </w:r>
          </w:p>
        </w:tc>
        <w:tc>
          <w:tcPr>
            <w:tcW w:w="1977" w:type="dxa"/>
            <w:vAlign w:val="center"/>
          </w:tcPr>
          <w:p w14:paraId="047824A2" w14:textId="141DF597"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Group Exposure / Gross Assets</w:t>
            </w:r>
          </w:p>
        </w:tc>
        <w:tc>
          <w:tcPr>
            <w:tcW w:w="1697" w:type="dxa"/>
            <w:vAlign w:val="center"/>
          </w:tcPr>
          <w:p w14:paraId="10221CB7" w14:textId="77777777"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&gt;50%</w:t>
            </w:r>
          </w:p>
        </w:tc>
        <w:tc>
          <w:tcPr>
            <w:tcW w:w="3089" w:type="dxa"/>
            <w:vAlign w:val="center"/>
          </w:tcPr>
          <w:p w14:paraId="07B4655C" w14:textId="77777777" w:rsidR="001069D9" w:rsidRPr="00401DFD" w:rsidRDefault="007C0D57">
            <w:pPr>
              <w:spacing w:before="100" w:after="200"/>
              <w:jc w:val="center"/>
              <w:rPr>
                <w:rFonts w:ascii="Arial" w:eastAsia="Arial" w:hAnsi="Arial"/>
                <w:i/>
                <w:sz w:val="24"/>
                <w:szCs w:val="24"/>
              </w:rPr>
            </w:pPr>
            <w:r w:rsidRPr="00401DFD">
              <w:rPr>
                <w:rFonts w:ascii="Arial" w:eastAsia="Arial" w:hAnsi="Arial"/>
                <w:i/>
                <w:sz w:val="24"/>
                <w:szCs w:val="24"/>
              </w:rPr>
              <w:t>Tested and reported yearly in arrears within 90 days of each accounting reference date based upon figures at the relevant accounting reference date</w:t>
            </w:r>
          </w:p>
        </w:tc>
      </w:tr>
    </w:tbl>
    <w:p w14:paraId="7A814A2B" w14:textId="77777777" w:rsidR="001069D9" w:rsidRDefault="001069D9">
      <w:pPr>
        <w:tabs>
          <w:tab w:val="left" w:pos="142"/>
        </w:tabs>
        <w:spacing w:before="120"/>
        <w:ind w:left="360"/>
        <w:rPr>
          <w:rFonts w:ascii="Arial" w:eastAsia="Arial" w:hAnsi="Arial"/>
          <w:sz w:val="24"/>
          <w:szCs w:val="24"/>
        </w:rPr>
      </w:pPr>
    </w:p>
    <w:p w14:paraId="4D07541F" w14:textId="77777777" w:rsidR="001069D9" w:rsidRDefault="007C0D57">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14:paraId="2D3316E2"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color w:val="000000"/>
        </w:rPr>
        <w:t xml:space="preserve"> </w:t>
      </w:r>
    </w:p>
    <w:p w14:paraId="1C01ABFA" w14:textId="2225312F" w:rsidR="001069D9" w:rsidRDefault="001069D9">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8"/>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1069D9" w14:paraId="0AFDEB61" w14:textId="77777777">
        <w:tc>
          <w:tcPr>
            <w:tcW w:w="4073" w:type="dxa"/>
            <w:shd w:val="clear" w:color="auto" w:fill="D9D9D9"/>
          </w:tcPr>
          <w:p w14:paraId="072F616D"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14:paraId="3FB950A3"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14:paraId="43576657"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bookmarkStart w:id="2" w:name="_heading=h.3whwml4" w:colFirst="0" w:colLast="0"/>
            <w:bookmarkEnd w:id="2"/>
            <w:r>
              <w:rPr>
                <w:rFonts w:ascii="Arial" w:eastAsia="Arial" w:hAnsi="Arial"/>
                <w:color w:val="000000"/>
                <w:sz w:val="24"/>
                <w:szCs w:val="24"/>
              </w:rPr>
              <w:t xml:space="preserve">(these are the Financial Indicators from the table in Paragraph 5.1 which </w:t>
            </w:r>
            <w:r>
              <w:rPr>
                <w:rFonts w:ascii="Arial" w:eastAsia="Arial" w:hAnsi="Arial"/>
                <w:color w:val="000000"/>
                <w:sz w:val="24"/>
                <w:szCs w:val="24"/>
              </w:rPr>
              <w:lastRenderedPageBreak/>
              <w:t>are to apply to the Monitored Suppliers)</w:t>
            </w:r>
          </w:p>
        </w:tc>
      </w:tr>
      <w:tr w:rsidR="001069D9" w14:paraId="2CE7E7FF" w14:textId="77777777">
        <w:tc>
          <w:tcPr>
            <w:tcW w:w="4073" w:type="dxa"/>
          </w:tcPr>
          <w:p w14:paraId="4A3B9E90" w14:textId="0770494F" w:rsidR="001069D9" w:rsidRDefault="00362D8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PDE Waste Technologies Limited (Group company – 100% owned by Grundon)</w:t>
            </w:r>
          </w:p>
        </w:tc>
        <w:tc>
          <w:tcPr>
            <w:tcW w:w="4223" w:type="dxa"/>
          </w:tcPr>
          <w:p w14:paraId="6C3EC83C" w14:textId="74585450" w:rsidR="00362D84" w:rsidRDefault="00362D84" w:rsidP="00362D84">
            <w:pPr>
              <w:pBdr>
                <w:top w:val="nil"/>
                <w:left w:val="nil"/>
                <w:bottom w:val="nil"/>
                <w:right w:val="nil"/>
                <w:between w:val="nil"/>
              </w:pBdr>
              <w:spacing w:before="100" w:after="200"/>
              <w:jc w:val="left"/>
              <w:rPr>
                <w:rFonts w:ascii="Arial" w:eastAsia="Arial" w:hAnsi="Arial"/>
                <w:color w:val="000000"/>
                <w:sz w:val="24"/>
                <w:szCs w:val="24"/>
              </w:rPr>
            </w:pPr>
            <w:r w:rsidRPr="008E066D">
              <w:rPr>
                <w:rFonts w:ascii="Arial" w:eastAsia="Arial" w:hAnsi="Arial"/>
                <w:color w:val="000000"/>
                <w:sz w:val="24"/>
                <w:szCs w:val="24"/>
              </w:rPr>
              <w:t>4,5,6</w:t>
            </w:r>
            <w:r>
              <w:rPr>
                <w:rFonts w:ascii="Arial" w:eastAsia="Arial" w:hAnsi="Arial"/>
                <w:color w:val="000000"/>
                <w:sz w:val="24"/>
                <w:szCs w:val="24"/>
              </w:rPr>
              <w:t xml:space="preserve"> </w:t>
            </w:r>
          </w:p>
          <w:p w14:paraId="442725F4" w14:textId="7BA779B2"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tc>
      </w:tr>
    </w:tbl>
    <w:p w14:paraId="1790EB48" w14:textId="77777777" w:rsidR="001069D9" w:rsidRDefault="001069D9">
      <w:pPr>
        <w:pBdr>
          <w:top w:val="nil"/>
          <w:left w:val="nil"/>
          <w:bottom w:val="nil"/>
          <w:right w:val="nil"/>
          <w:between w:val="nil"/>
        </w:pBdr>
        <w:tabs>
          <w:tab w:val="left" w:pos="1134"/>
        </w:tabs>
        <w:spacing w:before="120" w:after="120"/>
        <w:ind w:left="360" w:hanging="1004"/>
        <w:jc w:val="left"/>
        <w:rPr>
          <w:color w:val="000000"/>
        </w:rPr>
      </w:pPr>
    </w:p>
    <w:p w14:paraId="2D9EE10E" w14:textId="77777777" w:rsidR="001069D9" w:rsidRDefault="007C0D5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14:paraId="432C9CE5"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218BC99F"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14:paraId="0AC296BB"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661D3FB9"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14:paraId="0B229A77" w14:textId="77777777" w:rsidR="001069D9" w:rsidRDefault="007C0D57">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14:paraId="498C7D2E" w14:textId="77777777" w:rsidR="001069D9" w:rsidRDefault="007C0D5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14:paraId="2DAB1F29"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8D72C62"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1CE5FD4"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14:paraId="353F12A5" w14:textId="77777777" w:rsidR="001069D9" w:rsidRDefault="007C0D5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14:paraId="4FBB1A7C"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sidRPr="00386EDF">
        <w:rPr>
          <w:rFonts w:ascii="Arial" w:eastAsia="Arial" w:hAnsi="Arial"/>
          <w:color w:val="000000"/>
          <w:sz w:val="24"/>
          <w:szCs w:val="24"/>
        </w:rPr>
        <w:t>If the Contract has been specified as a Critical Service Contract under Paragraph 1.1 of Call-Off Schedule 33 (Corporate Resolution Planning) (if applicable) then, subject to Paragraph 8.4 of this Schedule, the Supplier shall within ninety (90) days after each Accounting Reference Date or within 15 months</w:t>
      </w:r>
      <w:r>
        <w:rPr>
          <w:rFonts w:ascii="Arial" w:eastAsia="Arial" w:hAnsi="Arial"/>
          <w:color w:val="000000"/>
          <w:sz w:val="24"/>
          <w:szCs w:val="24"/>
        </w:rPr>
        <w:t xml:space="preserve">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57F3D904"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that a Financial Distress Event has occurred since the later of the Effective Date or the previous Board Confirmation or is subsisting; or</w:t>
      </w:r>
    </w:p>
    <w:p w14:paraId="40D963B7" w14:textId="77777777" w:rsidR="001069D9" w:rsidRDefault="007C0D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6ED34795"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3A6E12BE"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2BD1E75B" w14:textId="77777777" w:rsidR="001069D9" w:rsidRDefault="007C0D5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2EA549DA" w14:textId="77777777" w:rsidR="001069D9" w:rsidRDefault="001069D9">
      <w:pPr>
        <w:pBdr>
          <w:top w:val="nil"/>
          <w:left w:val="nil"/>
          <w:bottom w:val="nil"/>
          <w:right w:val="nil"/>
          <w:between w:val="nil"/>
        </w:pBdr>
        <w:tabs>
          <w:tab w:val="left" w:pos="142"/>
        </w:tabs>
        <w:spacing w:before="120"/>
        <w:ind w:left="360" w:hanging="360"/>
        <w:rPr>
          <w:b/>
          <w:smallCaps/>
          <w:color w:val="000000"/>
        </w:rPr>
      </w:pPr>
    </w:p>
    <w:p w14:paraId="160F0817" w14:textId="77777777" w:rsidR="001069D9" w:rsidRDefault="007C0D57">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59B6104D" w14:textId="77777777" w:rsidR="001069D9" w:rsidRDefault="007C0D5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 and Bradstreet</w:t>
      </w:r>
    </w:p>
    <w:p w14:paraId="389C51C9" w14:textId="77777777" w:rsidR="001069D9" w:rsidRDefault="007C0D57">
      <w:pPr>
        <w:spacing w:after="200" w:line="276" w:lineRule="auto"/>
        <w:jc w:val="left"/>
        <w:rPr>
          <w:rFonts w:ascii="Arial" w:eastAsia="Arial" w:hAnsi="Arial"/>
          <w:sz w:val="24"/>
          <w:szCs w:val="24"/>
        </w:rPr>
      </w:pPr>
      <w:r>
        <w:br w:type="page"/>
      </w:r>
    </w:p>
    <w:p w14:paraId="5FFA5081" w14:textId="77777777" w:rsidR="001069D9" w:rsidRDefault="007C0D57">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3" w:name="_heading=h.2bn6wsx" w:colFirst="0" w:colLast="0"/>
      <w:bookmarkEnd w:id="3"/>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9"/>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1069D9" w14:paraId="6E03CF1B" w14:textId="77777777">
        <w:tc>
          <w:tcPr>
            <w:tcW w:w="3080" w:type="dxa"/>
            <w:tcBorders>
              <w:top w:val="single" w:sz="4" w:space="0" w:color="000000"/>
            </w:tcBorders>
            <w:shd w:val="clear" w:color="auto" w:fill="FFFFFF"/>
          </w:tcPr>
          <w:p w14:paraId="20EF3F74" w14:textId="77777777" w:rsidR="001069D9" w:rsidRDefault="007C0D5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15620FC6" w14:textId="77777777" w:rsidR="001069D9" w:rsidRDefault="007C0D5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1069D9" w14:paraId="33418E74" w14:textId="77777777">
        <w:tc>
          <w:tcPr>
            <w:tcW w:w="3080" w:type="dxa"/>
            <w:shd w:val="clear" w:color="auto" w:fill="FFFFFF"/>
          </w:tcPr>
          <w:p w14:paraId="232D3725" w14:textId="77777777" w:rsidR="001069D9" w:rsidRDefault="007C0D5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18A9557E" w14:textId="77777777" w:rsidR="001069D9" w:rsidRDefault="007C0D57">
            <w:pPr>
              <w:keepNext/>
              <w:pBdr>
                <w:top w:val="nil"/>
                <w:left w:val="nil"/>
                <w:bottom w:val="nil"/>
                <w:right w:val="nil"/>
                <w:between w:val="nil"/>
              </w:pBdr>
              <w:spacing w:before="240" w:after="120"/>
              <w:ind w:left="142"/>
              <w:jc w:val="left"/>
              <w:rPr>
                <w:rFonts w:ascii="Arial" w:eastAsia="Arial" w:hAnsi="Arial"/>
                <w:color w:val="000000"/>
                <w:sz w:val="24"/>
                <w:szCs w:val="24"/>
              </w:rPr>
            </w:pPr>
            <w:r w:rsidRPr="00386EDF">
              <w:rPr>
                <w:rFonts w:ascii="Arial" w:eastAsia="Arial" w:hAnsi="Arial"/>
                <w:color w:val="000000"/>
                <w:sz w:val="24"/>
                <w:szCs w:val="24"/>
              </w:rPr>
              <w:t>30</w:t>
            </w:r>
          </w:p>
        </w:tc>
      </w:tr>
      <w:tr w:rsidR="001069D9" w14:paraId="1ADFBC59" w14:textId="77777777">
        <w:tc>
          <w:tcPr>
            <w:tcW w:w="3080" w:type="dxa"/>
            <w:shd w:val="clear" w:color="auto" w:fill="FFFFFF"/>
          </w:tcPr>
          <w:p w14:paraId="7502BD26" w14:textId="1CCD881C" w:rsidR="001069D9" w:rsidRDefault="007C0D57">
            <w:pPr>
              <w:keepNext/>
              <w:pBdr>
                <w:top w:val="nil"/>
                <w:left w:val="nil"/>
                <w:bottom w:val="nil"/>
                <w:right w:val="nil"/>
                <w:between w:val="nil"/>
              </w:pBdr>
              <w:spacing w:before="240" w:after="120"/>
              <w:ind w:left="142"/>
              <w:jc w:val="left"/>
              <w:rPr>
                <w:rFonts w:ascii="Arial" w:eastAsia="Arial" w:hAnsi="Arial"/>
                <w:color w:val="000000"/>
                <w:sz w:val="24"/>
                <w:szCs w:val="24"/>
              </w:rPr>
            </w:pPr>
            <w:r w:rsidRPr="00386EDF">
              <w:rPr>
                <w:rFonts w:ascii="Arial" w:eastAsia="Arial" w:hAnsi="Arial"/>
                <w:color w:val="000000"/>
                <w:sz w:val="24"/>
                <w:szCs w:val="24"/>
              </w:rPr>
              <w:t>Guarantor</w:t>
            </w:r>
          </w:p>
        </w:tc>
        <w:tc>
          <w:tcPr>
            <w:tcW w:w="3081" w:type="dxa"/>
            <w:shd w:val="clear" w:color="auto" w:fill="FFFFFF"/>
          </w:tcPr>
          <w:p w14:paraId="051F3FD0" w14:textId="408A9CAB" w:rsidR="001069D9" w:rsidRDefault="00386ED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N/A</w:t>
            </w:r>
          </w:p>
        </w:tc>
      </w:tr>
      <w:tr w:rsidR="001069D9" w14:paraId="17BA0663" w14:textId="77777777">
        <w:tc>
          <w:tcPr>
            <w:tcW w:w="3080" w:type="dxa"/>
            <w:tcBorders>
              <w:bottom w:val="single" w:sz="4" w:space="0" w:color="000000"/>
            </w:tcBorders>
            <w:shd w:val="clear" w:color="auto" w:fill="FFFFFF"/>
          </w:tcPr>
          <w:p w14:paraId="14495523" w14:textId="4722730D" w:rsidR="001069D9" w:rsidRPr="00386EDF" w:rsidRDefault="007C0D57">
            <w:pPr>
              <w:keepNext/>
              <w:pBdr>
                <w:top w:val="nil"/>
                <w:left w:val="nil"/>
                <w:bottom w:val="nil"/>
                <w:right w:val="nil"/>
                <w:between w:val="nil"/>
              </w:pBdr>
              <w:spacing w:before="240" w:after="120"/>
              <w:ind w:left="142"/>
              <w:jc w:val="left"/>
              <w:rPr>
                <w:rFonts w:ascii="Arial" w:eastAsia="Arial" w:hAnsi="Arial"/>
                <w:color w:val="000000"/>
                <w:sz w:val="24"/>
                <w:szCs w:val="24"/>
              </w:rPr>
            </w:pPr>
            <w:r w:rsidRPr="00386EDF">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5C53D909" w14:textId="71A8207C" w:rsidR="001069D9" w:rsidRDefault="00386EDF">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N/A</w:t>
            </w:r>
          </w:p>
        </w:tc>
      </w:tr>
    </w:tbl>
    <w:p w14:paraId="5693CED1"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7F72135F" w14:textId="77777777" w:rsidR="001069D9" w:rsidRDefault="007C0D57">
      <w:pPr>
        <w:spacing w:after="200" w:line="276" w:lineRule="auto"/>
        <w:jc w:val="left"/>
        <w:rPr>
          <w:rFonts w:ascii="Arial" w:eastAsia="Arial" w:hAnsi="Arial"/>
          <w:sz w:val="24"/>
          <w:szCs w:val="24"/>
        </w:rPr>
      </w:pPr>
      <w:r>
        <w:br w:type="page"/>
      </w:r>
    </w:p>
    <w:p w14:paraId="565E0F7B"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14:paraId="1064E3F4"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bookmarkStart w:id="4" w:name="_heading=h.qsh70q" w:colFirst="0" w:colLast="0"/>
      <w:bookmarkEnd w:id="4"/>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0989B952"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039742AE" w14:textId="77777777" w:rsidR="001069D9" w:rsidRDefault="007C0D57">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5CE5B00D" w14:textId="77777777" w:rsidR="001069D9" w:rsidRDefault="007C0D57">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5" w:name="_heading=h.3as4poj" w:colFirst="0" w:colLast="0"/>
      <w:bookmarkEnd w:id="5"/>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729FCE51" w14:textId="77777777" w:rsidR="001069D9" w:rsidRDefault="007C0D57">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77BAF355" w14:textId="77777777" w:rsidR="001069D9" w:rsidRDefault="007C0D57">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5A15F219" w14:textId="77777777" w:rsidR="001069D9" w:rsidRDefault="007C0D57">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1069D9" w14:paraId="7BD5F13C" w14:textId="77777777">
        <w:tc>
          <w:tcPr>
            <w:tcW w:w="2538" w:type="dxa"/>
            <w:shd w:val="clear" w:color="auto" w:fill="D9D9D9"/>
          </w:tcPr>
          <w:p w14:paraId="16F58A6B"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64CBDC79"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1069D9" w14:paraId="213EFEA2" w14:textId="77777777">
        <w:tc>
          <w:tcPr>
            <w:tcW w:w="2538" w:type="dxa"/>
            <w:vAlign w:val="center"/>
          </w:tcPr>
          <w:p w14:paraId="59947E7C"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30C54645"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14:paraId="1B259C23"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0CE3A0BE"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14:paraId="139A4B14"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1069D9" w14:paraId="2F53E357" w14:textId="77777777">
        <w:tc>
          <w:tcPr>
            <w:tcW w:w="2538" w:type="dxa"/>
          </w:tcPr>
          <w:p w14:paraId="08BB4174"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12CAC640"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08244731"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72CBD048"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10023DD0"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410A1E84"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3C419282"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3A9E55ED"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675330A0"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7D7D478F"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4A2F2632"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0DD91FB6"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5DA250E6"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370661D8"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0AE47097"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78C01184"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7B6CEBC9"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1C9E8185"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07DB9CC4"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0F19CFB1"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6C416D86"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25139EAC"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7CBB0306"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2D6FF584"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3B2A9801"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6C162A0A"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2957AD02"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2394E472"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220C9E2A"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591C864D"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36591808"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14:paraId="12FBBF81"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14:paraId="5EEE6E1C"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14:paraId="7C03157D"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1D5C5D24"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Free Cash Flow to Net Debt Ratio should be shown on the face </w:t>
            </w:r>
            <w:r>
              <w:rPr>
                <w:rFonts w:ascii="Arial" w:eastAsia="Arial" w:hAnsi="Arial"/>
                <w:color w:val="000000"/>
                <w:sz w:val="24"/>
                <w:szCs w:val="24"/>
              </w:rPr>
              <w:lastRenderedPageBreak/>
              <w:t>of the Statement of Cash Flows and the Balance Sheet in a standard set of financial statements.</w:t>
            </w:r>
          </w:p>
          <w:p w14:paraId="7B6DE3F3"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14:paraId="41CED21F"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365FB805"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also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treated as borrowings as should, where disclosed, any liabilities (less any assets) in </w:t>
            </w:r>
            <w:proofErr w:type="gramStart"/>
            <w:r>
              <w:rPr>
                <w:rFonts w:ascii="Arial" w:eastAsia="Arial" w:hAnsi="Arial"/>
                <w:color w:val="000000"/>
                <w:sz w:val="24"/>
                <w:szCs w:val="24"/>
              </w:rPr>
              <w:t>respect  of</w:t>
            </w:r>
            <w:proofErr w:type="gramEnd"/>
            <w:r>
              <w:rPr>
                <w:rFonts w:ascii="Arial" w:eastAsia="Arial" w:hAnsi="Arial"/>
                <w:color w:val="000000"/>
                <w:sz w:val="24"/>
                <w:szCs w:val="24"/>
              </w:rPr>
              <w:t xml:space="preserve"> any hedges designated as linked to borrowings (but not non-designated hedges). Borrowings should also include balances owed to other group members.</w:t>
            </w:r>
          </w:p>
          <w:p w14:paraId="1123599B"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14315538"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439F0AE1"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14:paraId="477122CB"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5A50A368"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6299A891"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3BE4B012"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4F4383DF"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lastRenderedPageBreak/>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6C26D9FA"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29852F1A"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756CC5D8"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14:paraId="68EEE1A8"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bookmarkStart w:id="6" w:name="_heading=h.1pxezwc" w:colFirst="0" w:colLast="0"/>
            <w:bookmarkEnd w:id="6"/>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1069D9" w14:paraId="20B4E450" w14:textId="77777777">
        <w:tc>
          <w:tcPr>
            <w:tcW w:w="2538" w:type="dxa"/>
          </w:tcPr>
          <w:p w14:paraId="40455D5E"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401BB40B"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6478" w:type="dxa"/>
          </w:tcPr>
          <w:p w14:paraId="01D6DC1F"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AC747BC"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14:paraId="3A17D329"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3F0CB0E6"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64EB3BB2"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w:t>
            </w:r>
            <w:r>
              <w:rPr>
                <w:rFonts w:ascii="Arial" w:eastAsia="Arial" w:hAnsi="Arial"/>
                <w:color w:val="000000"/>
                <w:sz w:val="24"/>
                <w:szCs w:val="24"/>
              </w:rPr>
              <w:lastRenderedPageBreak/>
              <w:t xml:space="preserve">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14:paraId="2F5E1B31"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4846067C"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41739B2A"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0B14651D"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14:paraId="2877CE9F"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173E6F5F"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bookmarkStart w:id="7" w:name="_heading=h.49x2ik5" w:colFirst="0" w:colLast="0"/>
            <w:bookmarkEnd w:id="7"/>
            <w:r>
              <w:rPr>
                <w:rFonts w:ascii="Arial" w:eastAsia="Arial" w:hAnsi="Arial"/>
                <w:color w:val="000000"/>
                <w:sz w:val="24"/>
                <w:szCs w:val="24"/>
              </w:rPr>
              <w:t xml:space="preserve">The depreciation and amortisation charges for the period may be found on the face of the Statement of Cash Flows or in a Note to the Accounts. </w:t>
            </w:r>
          </w:p>
          <w:p w14:paraId="51435F89"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1069D9" w14:paraId="24395BD8" w14:textId="77777777">
        <w:tc>
          <w:tcPr>
            <w:tcW w:w="2538" w:type="dxa"/>
            <w:vAlign w:val="center"/>
          </w:tcPr>
          <w:p w14:paraId="56A786DC"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73ED8FCB"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14:paraId="7BB251D5"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02FA5896"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59251DE0"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7FF7FABB"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Interest received and interest paid should be shown on the face of the Cash Flow statement.</w:t>
            </w:r>
          </w:p>
          <w:p w14:paraId="675ADF67"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1069D9" w14:paraId="7CB91B54" w14:textId="77777777">
        <w:tc>
          <w:tcPr>
            <w:tcW w:w="2538" w:type="dxa"/>
            <w:vAlign w:val="center"/>
          </w:tcPr>
          <w:p w14:paraId="478536C0"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5C922FF3"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14:paraId="6F467310"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1069D9" w14:paraId="4C6ADA20" w14:textId="77777777">
        <w:tc>
          <w:tcPr>
            <w:tcW w:w="2538" w:type="dxa"/>
            <w:vAlign w:val="center"/>
          </w:tcPr>
          <w:p w14:paraId="645A62B8"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7A8A1AC3"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14:paraId="1F319697"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1069D9" w14:paraId="3CEEE14A" w14:textId="77777777">
        <w:tc>
          <w:tcPr>
            <w:tcW w:w="2538" w:type="dxa"/>
            <w:vAlign w:val="center"/>
          </w:tcPr>
          <w:p w14:paraId="3A3ECB1A"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1602773E"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14:paraId="77A55458"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14:paraId="1CA1B778" w14:textId="77777777" w:rsidR="001069D9" w:rsidRDefault="007C0D5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14:paraId="0308480B"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w:t>
            </w:r>
            <w:proofErr w:type="spellStart"/>
            <w:r>
              <w:rPr>
                <w:rFonts w:ascii="Arial" w:eastAsia="Arial" w:hAnsi="Arial"/>
                <w:color w:val="000000"/>
                <w:sz w:val="24"/>
                <w:szCs w:val="24"/>
              </w:rPr>
              <w:t>ie</w:t>
            </w:r>
            <w:proofErr w:type="spellEnd"/>
            <w:r>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6FC0927A"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49C05346"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In many cases an entity may not have assumed any contingent liabilities in support of Group Undertakings, in </w:t>
            </w:r>
            <w:r>
              <w:rPr>
                <w:rFonts w:ascii="Arial" w:eastAsia="Arial" w:hAnsi="Arial"/>
                <w:color w:val="000000"/>
                <w:sz w:val="24"/>
                <w:szCs w:val="24"/>
              </w:rPr>
              <w:lastRenderedPageBreak/>
              <w:t>particular where an entity is not a member of a group or is itself the ultimate holding company of the group.</w:t>
            </w:r>
          </w:p>
          <w:p w14:paraId="7247860F" w14:textId="77777777" w:rsidR="001069D9" w:rsidRDefault="007C0D5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bl>
    <w:p w14:paraId="3345A6D4"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121DEFC8" w14:textId="77777777" w:rsidR="001069D9" w:rsidRDefault="007C0D57">
      <w:pPr>
        <w:spacing w:after="200" w:line="276" w:lineRule="auto"/>
        <w:jc w:val="left"/>
        <w:rPr>
          <w:rFonts w:ascii="Arial" w:eastAsia="Arial" w:hAnsi="Arial"/>
          <w:sz w:val="24"/>
          <w:szCs w:val="24"/>
        </w:rPr>
      </w:pPr>
      <w:r>
        <w:br w:type="page"/>
      </w:r>
    </w:p>
    <w:p w14:paraId="21847A30" w14:textId="77777777" w:rsidR="001069D9" w:rsidRDefault="007C0D57">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8" w:name="_heading=h.2p2csry" w:colFirst="0" w:colLast="0"/>
      <w:bookmarkEnd w:id="8"/>
      <w:r>
        <w:rPr>
          <w:rFonts w:ascii="Arial Bold" w:eastAsia="Arial Bold" w:hAnsi="Arial Bold" w:cs="Arial Bold"/>
          <w:b/>
          <w:smallCaps/>
          <w:color w:val="000000"/>
          <w:sz w:val="24"/>
          <w:szCs w:val="24"/>
        </w:rPr>
        <w:lastRenderedPageBreak/>
        <w:t>Annex 4: Board Confirmation</w:t>
      </w:r>
    </w:p>
    <w:p w14:paraId="7250558E"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0EEF2BCA"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086F99F6" w14:textId="77777777" w:rsidR="001069D9" w:rsidRDefault="007C0D5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3C7220F9"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0167C98D" w14:textId="77777777" w:rsidR="001069D9" w:rsidRDefault="007C0D57">
      <w:pPr>
        <w:pBdr>
          <w:top w:val="nil"/>
          <w:left w:val="nil"/>
          <w:bottom w:val="nil"/>
          <w:right w:val="nil"/>
          <w:between w:val="nil"/>
        </w:pBdr>
        <w:spacing w:before="100" w:after="200"/>
        <w:ind w:left="720"/>
        <w:jc w:val="left"/>
        <w:rPr>
          <w:rFonts w:ascii="Arial" w:eastAsia="Arial" w:hAnsi="Arial"/>
          <w:color w:val="000000"/>
          <w:sz w:val="24"/>
          <w:szCs w:val="24"/>
        </w:rPr>
      </w:pPr>
      <w:bookmarkStart w:id="9" w:name="_heading=h.147n2zr" w:colFirst="0" w:colLast="0"/>
      <w:bookmarkEnd w:id="9"/>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05ABD894" w14:textId="77777777" w:rsidR="001069D9" w:rsidRDefault="007C0D5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2CA05BA4" w14:textId="77777777" w:rsidR="001069D9" w:rsidRDefault="007C0D57">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1EE8788E" w14:textId="77777777" w:rsidR="001069D9" w:rsidRDefault="007C0D57">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5765AF32"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72FEFDEB" w14:textId="77777777" w:rsidR="001069D9" w:rsidRDefault="007C0D5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3B602658"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72ABCF1D" w14:textId="77777777" w:rsidR="001069D9" w:rsidRDefault="007C0D5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443580DF" w14:textId="77777777" w:rsidR="001069D9" w:rsidRDefault="007C0D5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539DD63C" w14:textId="77777777" w:rsidR="001069D9" w:rsidRDefault="007C0D5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693092DD" w14:textId="77777777" w:rsidR="001069D9" w:rsidRDefault="001069D9">
      <w:pPr>
        <w:pBdr>
          <w:top w:val="nil"/>
          <w:left w:val="nil"/>
          <w:bottom w:val="nil"/>
          <w:right w:val="nil"/>
          <w:between w:val="nil"/>
        </w:pBdr>
        <w:spacing w:before="100" w:after="200"/>
        <w:jc w:val="left"/>
        <w:rPr>
          <w:rFonts w:ascii="Arial" w:eastAsia="Arial" w:hAnsi="Arial"/>
          <w:color w:val="000000"/>
          <w:sz w:val="24"/>
          <w:szCs w:val="24"/>
        </w:rPr>
      </w:pPr>
    </w:p>
    <w:p w14:paraId="077F04AD" w14:textId="77777777" w:rsidR="001069D9" w:rsidRDefault="007C0D5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2EE312E7" w14:textId="77777777" w:rsidR="001069D9" w:rsidRDefault="007C0D5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5858E848" w14:textId="77777777" w:rsidR="001069D9" w:rsidRDefault="007C0D5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65D3ED1E" w14:textId="77777777" w:rsidR="001069D9" w:rsidRDefault="001069D9">
      <w:pPr>
        <w:spacing w:after="200" w:line="276" w:lineRule="auto"/>
        <w:jc w:val="left"/>
        <w:rPr>
          <w:rFonts w:ascii="Arial" w:eastAsia="Arial" w:hAnsi="Arial"/>
          <w:sz w:val="24"/>
          <w:szCs w:val="24"/>
        </w:rPr>
      </w:pPr>
      <w:bookmarkStart w:id="10" w:name="_heading=h.4i7ojhp" w:colFirst="0" w:colLast="0"/>
      <w:bookmarkEnd w:id="10"/>
    </w:p>
    <w:sectPr w:rsidR="001069D9">
      <w:headerReference w:type="default" r:id="rId12"/>
      <w:footerReference w:type="defaul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CF4EF" w14:textId="77777777" w:rsidR="007B5586" w:rsidRDefault="007B5586">
      <w:pPr>
        <w:spacing w:after="0"/>
      </w:pPr>
      <w:r>
        <w:separator/>
      </w:r>
    </w:p>
  </w:endnote>
  <w:endnote w:type="continuationSeparator" w:id="0">
    <w:p w14:paraId="4A0E51BA" w14:textId="77777777" w:rsidR="007B5586" w:rsidRDefault="007B5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33DE" w14:textId="77777777" w:rsidR="001069D9" w:rsidRDefault="007C0D57">
    <w:pPr>
      <w:tabs>
        <w:tab w:val="center" w:pos="4513"/>
        <w:tab w:val="right" w:pos="9026"/>
      </w:tabs>
      <w:spacing w:after="0"/>
      <w:rPr>
        <w:rFonts w:ascii="Arial" w:eastAsia="Arial" w:hAnsi="Arial"/>
        <w:sz w:val="20"/>
        <w:szCs w:val="20"/>
      </w:rPr>
    </w:pPr>
    <w:r>
      <w:rPr>
        <w:rFonts w:ascii="Arial" w:eastAsia="Arial" w:hAnsi="Arial"/>
        <w:sz w:val="20"/>
        <w:szCs w:val="20"/>
      </w:rPr>
      <w:t>Framework Ref: RM6331</w:t>
    </w:r>
    <w:r>
      <w:rPr>
        <w:rFonts w:ascii="Arial" w:eastAsia="Arial" w:hAnsi="Arial"/>
        <w:sz w:val="20"/>
        <w:szCs w:val="20"/>
      </w:rPr>
      <w:tab/>
      <w:t xml:space="preserve">                                           </w:t>
    </w:r>
  </w:p>
  <w:p w14:paraId="29079D06" w14:textId="77777777" w:rsidR="001069D9" w:rsidRDefault="007C0D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241FACB3" w14:textId="77777777" w:rsidR="001069D9" w:rsidRDefault="007C0D57">
    <w:pPr>
      <w:spacing w:after="0"/>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B820" w14:textId="77777777" w:rsidR="001069D9" w:rsidRDefault="007C0D57">
    <w:pPr>
      <w:tabs>
        <w:tab w:val="center" w:pos="4513"/>
        <w:tab w:val="right" w:pos="9026"/>
      </w:tabs>
      <w:spacing w:after="0"/>
      <w:rPr>
        <w:color w:val="BFBFBF"/>
      </w:rPr>
    </w:pPr>
    <w:r>
      <w:rPr>
        <w:color w:val="BFBFBF"/>
      </w:rPr>
      <w:t>Framework Ref: RM</w:t>
    </w:r>
    <w:r>
      <w:rPr>
        <w:color w:val="BFBFBF"/>
      </w:rPr>
      <w:tab/>
      <w:t xml:space="preserve">                                           </w:t>
    </w:r>
  </w:p>
  <w:p w14:paraId="6C48A420" w14:textId="77777777" w:rsidR="001069D9" w:rsidRDefault="007C0D5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39CD4D2C" w14:textId="77777777" w:rsidR="001069D9" w:rsidRDefault="007C0D57">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04AAB" w14:textId="77777777" w:rsidR="007B5586" w:rsidRDefault="007B5586">
      <w:pPr>
        <w:spacing w:after="0"/>
      </w:pPr>
      <w:r>
        <w:separator/>
      </w:r>
    </w:p>
  </w:footnote>
  <w:footnote w:type="continuationSeparator" w:id="0">
    <w:p w14:paraId="4F251406" w14:textId="77777777" w:rsidR="007B5586" w:rsidRDefault="007B55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DF352" w14:textId="77777777" w:rsidR="001069D9" w:rsidRDefault="007C0D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7DFC5A84" w14:textId="77777777" w:rsidR="001069D9" w:rsidRDefault="007C0D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72A22"/>
    <w:multiLevelType w:val="multilevel"/>
    <w:tmpl w:val="3F12FF9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5E05519"/>
    <w:multiLevelType w:val="multilevel"/>
    <w:tmpl w:val="CFAC7C0C"/>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3567F2B"/>
    <w:multiLevelType w:val="multilevel"/>
    <w:tmpl w:val="CF42ACE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1664774132">
    <w:abstractNumId w:val="2"/>
  </w:num>
  <w:num w:numId="2" w16cid:durableId="18623928">
    <w:abstractNumId w:val="0"/>
  </w:num>
  <w:num w:numId="3" w16cid:durableId="1089422739">
    <w:abstractNumId w:val="1"/>
  </w:num>
  <w:num w:numId="4" w16cid:durableId="6726066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9D9"/>
    <w:rsid w:val="001069D9"/>
    <w:rsid w:val="00241A8D"/>
    <w:rsid w:val="00280588"/>
    <w:rsid w:val="00362D84"/>
    <w:rsid w:val="00363121"/>
    <w:rsid w:val="00386EDF"/>
    <w:rsid w:val="003C0029"/>
    <w:rsid w:val="00401DFD"/>
    <w:rsid w:val="00451FE4"/>
    <w:rsid w:val="005B437F"/>
    <w:rsid w:val="00670E31"/>
    <w:rsid w:val="00675642"/>
    <w:rsid w:val="006D176E"/>
    <w:rsid w:val="00720825"/>
    <w:rsid w:val="007417E5"/>
    <w:rsid w:val="007B5586"/>
    <w:rsid w:val="007C0D57"/>
    <w:rsid w:val="008D6F32"/>
    <w:rsid w:val="008E066D"/>
    <w:rsid w:val="009131AA"/>
    <w:rsid w:val="00995F8F"/>
    <w:rsid w:val="009D3564"/>
    <w:rsid w:val="00BB3153"/>
    <w:rsid w:val="00C8197C"/>
    <w:rsid w:val="00CA6064"/>
    <w:rsid w:val="00DA0E17"/>
    <w:rsid w:val="00E448CD"/>
    <w:rsid w:val="00F546FA"/>
    <w:rsid w:val="00FD6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4FC4D"/>
  <w15:docId w15:val="{EEEF0E39-56CC-4731-854B-667766F8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4"/>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pPr>
      <w:spacing w:after="0"/>
    </w:pPr>
    <w:rPr>
      <w:sz w:val="20"/>
      <w:szCs w:val="20"/>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trategic-supplier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9233ef4b-66f2-4317-994c-fa0b4bb15770"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IwjkDZG4sjkJrrKCR6aH/+WWw==">CgMxLjAyCWguM2R5NnZrbTIJaC4xY2k5M3hiMgloLjN3aHdtbDQyCWguMmJuNndzeDIIaC5xc2g3MHEyCWguM2FzNHBvajIJaC4xcHhlendjMgloLjQ5eDJpazUyCWguMnAyY3NyeTIJaC4xNDduMnpyMgloLjRpN29qaHA4AHIhMUliQTVUU203Sy1KeEpSZDZwQkpRck9wRklwYkhUV1Fn</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BE8619023599CF4786BB3CA615F3789E" ma:contentTypeVersion="19" ma:contentTypeDescription="Create a new document." ma:contentTypeScope="" ma:versionID="74fefb03d327843692ad2dbbbe049354">
  <xsd:schema xmlns:xsd="http://www.w3.org/2001/XMLSchema" xmlns:xs="http://www.w3.org/2001/XMLSchema" xmlns:p="http://schemas.microsoft.com/office/2006/metadata/properties" xmlns:ns1="http://schemas.microsoft.com/sharepoint/v3" xmlns:ns3="caa49cbc-4b8e-4ea5-a7f4-f10c1b55bf9e" xmlns:ns4="9233ef4b-66f2-4317-994c-fa0b4bb15770" targetNamespace="http://schemas.microsoft.com/office/2006/metadata/properties" ma:root="true" ma:fieldsID="280ec9ce846645c8a835abd406957b50" ns1:_="" ns3:_="" ns4:_="">
    <xsd:import namespace="http://schemas.microsoft.com/sharepoint/v3"/>
    <xsd:import namespace="caa49cbc-4b8e-4ea5-a7f4-f10c1b55bf9e"/>
    <xsd:import namespace="9233ef4b-66f2-4317-994c-fa0b4bb1577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1:_ip_UnifiedCompliancePolicyProperties" minOccurs="0"/>
                <xsd:element ref="ns1:_ip_UnifiedCompliancePolicyUIAc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49cbc-4b8e-4ea5-a7f4-f10c1b55bf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3ef4b-66f2-4317-994c-fa0b4bb1577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CBA211-0195-4A7D-81B6-84A1B9EC5B63}">
  <ds:schemaRefs>
    <ds:schemaRef ds:uri="http://schemas.microsoft.com/sharepoint/v3/contenttype/forms"/>
  </ds:schemaRefs>
</ds:datastoreItem>
</file>

<file path=customXml/itemProps2.xml><?xml version="1.0" encoding="utf-8"?>
<ds:datastoreItem xmlns:ds="http://schemas.openxmlformats.org/officeDocument/2006/customXml" ds:itemID="{C2200EC0-DCFF-4C44-9621-A9478BCAF301}">
  <ds:schemaRefs>
    <ds:schemaRef ds:uri="http://schemas.microsoft.com/office/2006/metadata/properties"/>
    <ds:schemaRef ds:uri="http://schemas.microsoft.com/office/infopath/2007/PartnerControls"/>
    <ds:schemaRef ds:uri="http://schemas.microsoft.com/sharepoint/v3"/>
    <ds:schemaRef ds:uri="9233ef4b-66f2-4317-994c-fa0b4bb15770"/>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D6A619F-9F52-4526-A0D1-82D6DBE80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a49cbc-4b8e-4ea5-a7f4-f10c1b55bf9e"/>
    <ds:schemaRef ds:uri="9233ef4b-66f2-4317-994c-fa0b4bb157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23</TotalTime>
  <Pages>19</Pages>
  <Words>4851</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Pauline Hanratty</dc:creator>
  <cp:lastModifiedBy>IBBOTT, Katie (FRIMLEY HEALTH NHS FOUNDATION TRUST)</cp:lastModifiedBy>
  <cp:revision>10</cp:revision>
  <dcterms:created xsi:type="dcterms:W3CDTF">2025-05-15T12:45:00Z</dcterms:created>
  <dcterms:modified xsi:type="dcterms:W3CDTF">2025-06-27T12:35:00Z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0x010100BE8619023599CF4786BB3CA615F3789E</vt:lpwstr>
  </property>
</Properties>
</file>